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E1A" w:rsidRDefault="00ED5D40">
      <w:pPr>
        <w:pStyle w:val="a3"/>
        <w:widowControl/>
        <w:spacing w:beforeAutospacing="0" w:afterAutospacing="0" w:line="512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</w:rPr>
        <w:t>热招项目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之一</w:t>
      </w: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</w:rPr>
        <w:t>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国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党建品牌经验萃取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高级研修班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  <w:rPr>
          <w:sz w:val="28"/>
          <w:szCs w:val="28"/>
        </w:rPr>
      </w:pP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内聚人心，外塑形象。以品牌创建推进党建与业务深度融合，是推动党建工作创新、激发党建工作活力的需要，是加强和改进党建工作的重要抓手，是加强党组织建设的重要举措。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山东大学人文社科青岛研究院</w:t>
      </w: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为助力国资国企创建党建品牌，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精心研发设计了《</w:t>
      </w: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国企党建品牌创建：让党建工作“有特色、出亮点”》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培训课程</w:t>
      </w: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，课程内容涵盖国企党建品牌的要素与特征、创建国企党建品牌的重要性、国企党建品牌创建中常见的问题及如何创建高端国企党建品牌等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具体内容。</w:t>
      </w:r>
    </w:p>
    <w:p w:rsidR="005A1E1A" w:rsidRPr="00E10CF2" w:rsidRDefault="00ED5D40" w:rsidP="001A4A97">
      <w:pPr>
        <w:pStyle w:val="a3"/>
        <w:widowControl/>
        <w:spacing w:beforeAutospacing="0" w:afterAutospacing="0"/>
      </w:pPr>
      <w:r w:rsidRPr="00E10CF2"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  <w:t>培训对象</w:t>
      </w:r>
      <w:r w:rsidRPr="00E10CF2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：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color w:val="222222"/>
          <w:sz w:val="32"/>
          <w:szCs w:val="32"/>
        </w:rPr>
        <w:t>国有企业党组织负责人、党建品牌创建经办人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。</w:t>
      </w:r>
    </w:p>
    <w:p w:rsidR="005A1E1A" w:rsidRPr="00E10CF2" w:rsidRDefault="00ED5D40" w:rsidP="001A4A97">
      <w:pPr>
        <w:pStyle w:val="a3"/>
        <w:widowControl/>
        <w:spacing w:beforeAutospacing="0" w:afterAutospacing="0"/>
      </w:pPr>
      <w:r w:rsidRPr="00E10CF2"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  <w:t>培训</w:t>
      </w:r>
      <w:r w:rsidRPr="00E10CF2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内容：</w:t>
      </w:r>
    </w:p>
    <w:p w:rsidR="005A1E1A" w:rsidRPr="00E10CF2" w:rsidRDefault="00ED5D40" w:rsidP="00D85895">
      <w:pPr>
        <w:pStyle w:val="a3"/>
        <w:widowControl/>
        <w:spacing w:beforeAutospacing="0" w:afterAutospacing="0" w:line="512" w:lineRule="atLeast"/>
        <w:ind w:firstLineChars="200" w:firstLine="643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1.党建品牌项目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帮助党组织总结党建工作的亮点特色，打造党建方面的“品牌”，项目成果为《党建品牌成果手册》，涵盖党建品牌名称、党建品牌文化内涵、党建品牌视觉标志（logo）、党建品牌标志应用场景设计、党建品牌落地方法等相关内容。</w:t>
      </w:r>
    </w:p>
    <w:p w:rsidR="005A1E1A" w:rsidRPr="00E10CF2" w:rsidRDefault="00ED5D40" w:rsidP="00D85895">
      <w:pPr>
        <w:pStyle w:val="a3"/>
        <w:widowControl/>
        <w:spacing w:beforeAutospacing="0" w:afterAutospacing="0" w:line="512" w:lineRule="atLeast"/>
        <w:ind w:firstLineChars="200" w:firstLine="643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2.党建展厅策划设计</w:t>
      </w:r>
    </w:p>
    <w:p w:rsidR="005A1E1A" w:rsidRPr="00E10CF2" w:rsidRDefault="00ED5D40" w:rsidP="00D61C68">
      <w:pPr>
        <w:pStyle w:val="a3"/>
        <w:widowControl/>
        <w:spacing w:beforeAutospacing="0" w:afterAutospacing="0" w:line="512" w:lineRule="atLeas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lastRenderedPageBreak/>
        <w:t>帮助基层党组织策划设计独具特色的党建文化展厅，不仅满足基层党组织开会的基础使用功能，同时满足宣传展示功能、文化融合、主题活动举办等功能。项目将输出《党建展厅策划设计手册》《党建展厅施工图纸》等，同时项目将提供讲解员指导、参访接待指导手册、施工技术指导等配套服务。</w:t>
      </w:r>
    </w:p>
    <w:p w:rsidR="005A1E1A" w:rsidRPr="00E10CF2" w:rsidRDefault="00ED5D40" w:rsidP="00D85895">
      <w:pPr>
        <w:pStyle w:val="a3"/>
        <w:widowControl/>
        <w:spacing w:beforeAutospacing="0" w:afterAutospacing="0" w:line="512" w:lineRule="atLeast"/>
        <w:ind w:firstLineChars="200" w:firstLine="643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3.党建年度工作规划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“做规划”，输出《党建年度工作规划与落地执行方案》，帮助党组织制定科学的党建工作年度规划，做好顶层设计与统筹规划，策划落地活动与工作机制，为工作开展提供抓手，促进党</w:t>
      </w:r>
      <w:r w:rsidR="00E875E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建与</w:t>
      </w: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业</w:t>
      </w:r>
      <w:r w:rsidR="00E875E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务</w:t>
      </w: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融合，创建一系列活动机制，最终帮助党组织打造党建亮点，成为党建标杆。</w:t>
      </w:r>
    </w:p>
    <w:p w:rsidR="005A1E1A" w:rsidRPr="00E10CF2" w:rsidRDefault="00ED5D40" w:rsidP="00D85895">
      <w:pPr>
        <w:pStyle w:val="a3"/>
        <w:widowControl/>
        <w:spacing w:beforeAutospacing="0" w:afterAutospacing="0" w:line="512" w:lineRule="atLeast"/>
        <w:ind w:firstLineChars="200" w:firstLine="643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4.党建工作年报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输出《党建工作年报》，系统总结党建亮点特色，萃取先进经验，搭建党建工作体系，呈现党建工作成绩。</w:t>
      </w:r>
    </w:p>
    <w:p w:rsidR="005A1E1A" w:rsidRPr="00E10CF2" w:rsidRDefault="00ED5D40" w:rsidP="00D85895">
      <w:pPr>
        <w:pStyle w:val="a3"/>
        <w:widowControl/>
        <w:spacing w:beforeAutospacing="0" w:afterAutospacing="0" w:line="512" w:lineRule="atLeast"/>
        <w:ind w:firstLineChars="200" w:firstLine="643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5.选育红色内训师</w:t>
      </w:r>
    </w:p>
    <w:p w:rsidR="005A1E1A" w:rsidRPr="00E10CF2" w:rsidRDefault="00ED5D40" w:rsidP="007A2245">
      <w:pPr>
        <w:pStyle w:val="a3"/>
        <w:widowControl/>
        <w:spacing w:beforeAutospacing="0" w:afterAutospacing="0" w:line="512" w:lineRule="atLeast"/>
        <w:ind w:firstLineChars="160" w:firstLine="512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借助人力资源相关工具进行测试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，</w:t>
      </w: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从党性强的党员里面培养红色内训师，通过选题界定、课程开发、TTT培训、动态管理等阶段，结合实战操练，为合作单位提供指导落地方案，帮助合作单位做好红色内训赋能党务工作的开展。</w:t>
      </w:r>
    </w:p>
    <w:p w:rsidR="005A1E1A" w:rsidRPr="00E10CF2" w:rsidRDefault="00ED5D40" w:rsidP="00D85895">
      <w:pPr>
        <w:pStyle w:val="a3"/>
        <w:widowControl/>
        <w:spacing w:beforeAutospacing="0" w:afterAutospacing="0" w:line="512" w:lineRule="atLeast"/>
        <w:ind w:firstLineChars="200" w:firstLine="643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bookmarkStart w:id="0" w:name="_GoBack"/>
      <w:bookmarkEnd w:id="0"/>
      <w:r w:rsidRPr="00E10CF2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6.标准化党支部打造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lastRenderedPageBreak/>
        <w:t>遵循《中国共产党支部工作条例（试行）》，落实关于党支部基本任务、工作机制和组织生活等规定要求，从组织设置标准化、组织生活标准化、活动场所标准化、队伍建设标准化、党内关怀标准化、基本制度标准化、基本保障标准化等7大方面进行标准化党支部打造。</w:t>
      </w:r>
    </w:p>
    <w:p w:rsidR="005A1E1A" w:rsidRPr="00E10CF2" w:rsidRDefault="005A1E1A" w:rsidP="001A4A97">
      <w:pPr>
        <w:jc w:val="left"/>
      </w:pPr>
    </w:p>
    <w:p w:rsidR="005A1E1A" w:rsidRPr="00E10CF2" w:rsidRDefault="00ED5D40" w:rsidP="001A4A97">
      <w:pPr>
        <w:pStyle w:val="a3"/>
        <w:widowControl/>
        <w:spacing w:beforeAutospacing="0" w:afterAutospacing="0"/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</w:pPr>
      <w:r w:rsidRPr="00E10CF2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课程亮点：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</w:pP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人文社科青岛研究院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邀请知名党建品牌创建专家从目前党建工作的痛点即弱化、虚化、</w:t>
      </w:r>
      <w:r w:rsidR="00055804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等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开始，深度剖析目前企业党建工作的难点，并提出六个解决思路，以党建品牌为核心打造本单位亮点特色，可以有效解决党建工作效果难以量化、难以显性化呈现的难题。结合具体案例分析如何围绕中心工作设计党建工作法、如何将党建与业务深度融合、如何将品牌全面落地等难题，让党建与中心业务从“两张皮”变为“一盘棋”，实现党建引领业务、党建服务业务、党建助推业务。</w:t>
      </w:r>
    </w:p>
    <w:p w:rsidR="005A1E1A" w:rsidRPr="00E10CF2" w:rsidRDefault="00ED5D40" w:rsidP="001A4A97">
      <w:pPr>
        <w:pStyle w:val="a3"/>
        <w:widowControl/>
        <w:spacing w:beforeAutospacing="0" w:afterAutospacing="0" w:line="792" w:lineRule="atLeast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</w:pPr>
      <w:r w:rsidRPr="00E10CF2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联系方式：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山东大学人文社科青岛研究院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迟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老师：15069182112</w:t>
      </w:r>
    </w:p>
    <w:p w:rsidR="005A1E1A" w:rsidRPr="00E10CF2" w:rsidRDefault="00ED5D40" w:rsidP="001A4A97">
      <w:pPr>
        <w:pStyle w:val="a3"/>
        <w:widowControl/>
        <w:spacing w:beforeAutospacing="0" w:afterAutospacing="0" w:line="512" w:lineRule="atLeast"/>
        <w:ind w:firstLineChars="160" w:firstLine="512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李</w:t>
      </w:r>
      <w:r w:rsidRPr="00E10CF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老师：18100381823</w:t>
      </w:r>
    </w:p>
    <w:p w:rsidR="005A1E1A" w:rsidRDefault="005A1E1A">
      <w:pPr>
        <w:pStyle w:val="1"/>
        <w:widowControl/>
        <w:spacing w:beforeAutospacing="0" w:after="280" w:afterAutospacing="0" w:line="28" w:lineRule="atLeast"/>
        <w:rPr>
          <w:rFonts w:ascii="方正小标宋简体" w:eastAsia="方正小标宋简体" w:hAnsi="方正小标宋简体" w:cs="方正小标宋简体" w:hint="default"/>
          <w:color w:val="222222"/>
          <w:spacing w:val="11"/>
          <w:sz w:val="44"/>
          <w:szCs w:val="44"/>
        </w:rPr>
      </w:pPr>
    </w:p>
    <w:p w:rsidR="005A1E1A" w:rsidRDefault="005A1E1A"/>
    <w:sectPr w:rsidR="005A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方正小标宋_GBK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0NmYxZGNkZGRiYTc4MWY5ZjNmZjgzMmVmMjhjMzMifQ=="/>
  </w:docVars>
  <w:rsids>
    <w:rsidRoot w:val="45EE13C8"/>
    <w:rsid w:val="00055804"/>
    <w:rsid w:val="001A4A97"/>
    <w:rsid w:val="00201F00"/>
    <w:rsid w:val="005A1E1A"/>
    <w:rsid w:val="006B6C4B"/>
    <w:rsid w:val="007001A6"/>
    <w:rsid w:val="007A2245"/>
    <w:rsid w:val="00963BFD"/>
    <w:rsid w:val="00D61C68"/>
    <w:rsid w:val="00D85895"/>
    <w:rsid w:val="00E10CF2"/>
    <w:rsid w:val="00E875E2"/>
    <w:rsid w:val="00EC5C89"/>
    <w:rsid w:val="00ED5D40"/>
    <w:rsid w:val="45E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01A48"/>
  <w15:docId w15:val="{F36A4257-6718-4B2C-89E3-225BA7A2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a5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Cs w:val="32"/>
    </w:rPr>
  </w:style>
  <w:style w:type="paragraph" w:styleId="a6">
    <w:name w:val="Balloon Text"/>
    <w:basedOn w:val="a"/>
    <w:link w:val="a7"/>
    <w:rsid w:val="00963BFD"/>
    <w:rPr>
      <w:sz w:val="18"/>
      <w:szCs w:val="18"/>
    </w:rPr>
  </w:style>
  <w:style w:type="character" w:customStyle="1" w:styleId="a7">
    <w:name w:val="批注框文本 字符"/>
    <w:basedOn w:val="a0"/>
    <w:link w:val="a6"/>
    <w:rsid w:val="00963B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人文社科</cp:lastModifiedBy>
  <cp:revision>10</cp:revision>
  <dcterms:created xsi:type="dcterms:W3CDTF">2022-05-29T05:40:00Z</dcterms:created>
  <dcterms:modified xsi:type="dcterms:W3CDTF">2022-06-13T08:50:00Z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54F512B990714B049D1A192B003E0587</vt:lpwstr>
  </property>
</Properties>
</file>